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3DDC" w:rsidRPr="001A5AD7" w:rsidRDefault="00803DDC" w:rsidP="00803DDC">
      <w:pPr>
        <w:rPr>
          <w:rFonts w:ascii="Arial" w:hAnsi="Arial" w:cs="Arial"/>
          <w:lang w:val="ky-KG"/>
        </w:rPr>
      </w:pPr>
      <w:bookmarkStart w:id="0" w:name="_GoBack"/>
      <w:bookmarkEnd w:id="0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D915841" wp14:editId="7BF3AF12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12" name="Рисунок 1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03050" wp14:editId="0C9A40C3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9" name="Прямоугольник: скругленные угл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3DDC" w:rsidRDefault="00803DDC" w:rsidP="00803DDC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803DDC" w:rsidRPr="00257C09" w:rsidRDefault="00803DDC" w:rsidP="00803D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803DDC" w:rsidRPr="00257C09" w:rsidRDefault="00803DDC" w:rsidP="00803D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803DDC" w:rsidRPr="00257C09" w:rsidRDefault="00803DDC" w:rsidP="00803D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803DDC" w:rsidRPr="00DC2C11" w:rsidRDefault="00803DDC" w:rsidP="00803DDC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803DDC" w:rsidRPr="00AC6A50" w:rsidRDefault="00803DDC" w:rsidP="00803DD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803DDC" w:rsidRPr="00AC6A50" w:rsidRDefault="00803DDC" w:rsidP="00803DD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803DDC" w:rsidRPr="00AC6A50" w:rsidRDefault="00803DDC" w:rsidP="00803DD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803DDC" w:rsidRPr="00AC6A50" w:rsidRDefault="00803DDC" w:rsidP="00803DD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903050" id="Прямоугольник: скругленные углы 9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ING9aB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:rsidR="00803DDC" w:rsidRDefault="00803DDC" w:rsidP="00803DDC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803DDC" w:rsidRPr="00257C09" w:rsidRDefault="00803DDC" w:rsidP="00803D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803DDC" w:rsidRPr="00257C09" w:rsidRDefault="00803DDC" w:rsidP="00803D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803DDC" w:rsidRPr="00257C09" w:rsidRDefault="00803DDC" w:rsidP="00803D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803DDC" w:rsidRPr="00DC2C11" w:rsidRDefault="00803DDC" w:rsidP="00803DDC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803DDC" w:rsidRPr="00AC6A50" w:rsidRDefault="00803DDC" w:rsidP="00803DD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803DDC" w:rsidRPr="00AC6A50" w:rsidRDefault="00803DDC" w:rsidP="00803DD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803DDC" w:rsidRPr="00AC6A50" w:rsidRDefault="00803DDC" w:rsidP="00803DD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803DDC" w:rsidRPr="00AC6A50" w:rsidRDefault="00803DDC" w:rsidP="00803DD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32833" wp14:editId="3819D836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3DDC" w:rsidRDefault="00803DDC" w:rsidP="00803DDC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803DDC" w:rsidRPr="00257C09" w:rsidRDefault="00803DDC" w:rsidP="00803D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803DDC" w:rsidRPr="00257C09" w:rsidRDefault="00803DDC" w:rsidP="00803D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803DDC" w:rsidRPr="00257C09" w:rsidRDefault="00803DDC" w:rsidP="00803D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803DDC" w:rsidRPr="00A16CFC" w:rsidRDefault="00803DDC" w:rsidP="00803DDC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803DDC" w:rsidRPr="00DC2C11" w:rsidRDefault="00803DDC" w:rsidP="00803DDC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803DDC" w:rsidRPr="00043273" w:rsidRDefault="00803DDC" w:rsidP="00803DDC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803DDC" w:rsidRPr="00DC2C11" w:rsidRDefault="00803DDC" w:rsidP="00803DDC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803DDC" w:rsidRPr="00784764" w:rsidRDefault="00803DDC" w:rsidP="00803DD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32833" id="Прямоугольник: скругленные углы 10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Cw/qDuewIA&#10;AME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803DDC" w:rsidRDefault="00803DDC" w:rsidP="00803DDC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803DDC" w:rsidRPr="00257C09" w:rsidRDefault="00803DDC" w:rsidP="00803D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803DDC" w:rsidRPr="00257C09" w:rsidRDefault="00803DDC" w:rsidP="00803D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803DDC" w:rsidRPr="00257C09" w:rsidRDefault="00803DDC" w:rsidP="00803D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803DDC" w:rsidRPr="00A16CFC" w:rsidRDefault="00803DDC" w:rsidP="00803DDC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803DDC" w:rsidRPr="00DC2C11" w:rsidRDefault="00803DDC" w:rsidP="00803DDC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803DDC" w:rsidRPr="00043273" w:rsidRDefault="00803DDC" w:rsidP="00803DDC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803DDC" w:rsidRPr="00DC2C11" w:rsidRDefault="00803DDC" w:rsidP="00803DDC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803DDC" w:rsidRPr="00784764" w:rsidRDefault="00803DDC" w:rsidP="00803DD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03DDC" w:rsidRPr="001A5AD7" w:rsidRDefault="00803DDC" w:rsidP="00803DDC">
      <w:pPr>
        <w:rPr>
          <w:rFonts w:ascii="Arial" w:hAnsi="Arial" w:cs="Arial"/>
          <w:lang w:val="ky-KG"/>
        </w:rPr>
      </w:pPr>
    </w:p>
    <w:p w:rsidR="00803DDC" w:rsidRPr="001A5AD7" w:rsidRDefault="00803DDC" w:rsidP="00803DDC">
      <w:pPr>
        <w:rPr>
          <w:rFonts w:ascii="Arial" w:hAnsi="Arial" w:cs="Arial"/>
          <w:lang w:val="ky-KG"/>
        </w:rPr>
      </w:pPr>
    </w:p>
    <w:p w:rsidR="00803DDC" w:rsidRPr="001A5AD7" w:rsidRDefault="00803DDC" w:rsidP="00803DDC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803DDC" w:rsidRPr="001A5AD7" w:rsidRDefault="00803DDC" w:rsidP="00803DDC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288657C" wp14:editId="55AA2607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C7B90" id="Прямая соединительная линия 1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:rsidR="00803DDC" w:rsidRDefault="00803DDC" w:rsidP="00803DDC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803DDC" w:rsidRDefault="00803DDC" w:rsidP="00803DDC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Кадамжай шаардык кеңешинин </w:t>
      </w: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чакырылышынын кезек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и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з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XI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сессиясы</w:t>
      </w:r>
    </w:p>
    <w:p w:rsidR="00803DDC" w:rsidRDefault="00803DDC" w:rsidP="00803DDC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:rsidR="00803DDC" w:rsidRPr="00A15B29" w:rsidRDefault="00803DDC" w:rsidP="00803DDC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ПОСТАНОВЛЕНИЕ</w:t>
      </w:r>
    </w:p>
    <w:p w:rsidR="00803DDC" w:rsidRPr="00A15B29" w:rsidRDefault="00803DDC" w:rsidP="00803DDC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803DDC" w:rsidRDefault="00803DDC" w:rsidP="00803DDC">
      <w:pPr>
        <w:rPr>
          <w:rFonts w:ascii="Arial" w:hAnsi="Arial" w:cs="Arial"/>
          <w:color w:val="000000"/>
          <w:sz w:val="24"/>
          <w:szCs w:val="24"/>
          <w:lang w:val="ky-KG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30.05.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202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5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-жыл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.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_ № _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43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 xml:space="preserve">_ 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Кадамжай ш.</w:t>
      </w:r>
    </w:p>
    <w:p w:rsidR="00803DDC" w:rsidRDefault="00803DDC" w:rsidP="00803DDC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803DDC" w:rsidRDefault="00803DDC" w:rsidP="00803DDC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</w:p>
    <w:p w:rsidR="00803DDC" w:rsidRDefault="00803DDC" w:rsidP="00803DDC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 w:rsidRPr="00F8165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Pr="00F81652">
        <w:rPr>
          <w:rFonts w:ascii="Arial" w:hAnsi="Arial" w:cs="Arial"/>
          <w:b/>
          <w:bCs/>
          <w:sz w:val="24"/>
          <w:szCs w:val="24"/>
          <w:lang w:val="ky-KG"/>
        </w:rPr>
        <w:t>Өзбек Республикасынан К</w:t>
      </w:r>
      <w:r>
        <w:rPr>
          <w:rFonts w:ascii="Arial" w:hAnsi="Arial" w:cs="Arial"/>
          <w:b/>
          <w:bCs/>
          <w:sz w:val="24"/>
          <w:szCs w:val="24"/>
          <w:lang w:val="ky-KG"/>
        </w:rPr>
        <w:t>адамжай шаарына өткөн</w:t>
      </w:r>
      <w:r w:rsidRPr="00F81652">
        <w:rPr>
          <w:rFonts w:ascii="Arial" w:hAnsi="Arial" w:cs="Arial"/>
          <w:b/>
          <w:bCs/>
          <w:sz w:val="24"/>
          <w:szCs w:val="24"/>
          <w:lang w:val="ky-KG"/>
        </w:rPr>
        <w:t xml:space="preserve"> 241,5 га жер аянтын </w:t>
      </w:r>
      <w:r>
        <w:rPr>
          <w:rFonts w:ascii="Arial" w:hAnsi="Arial" w:cs="Arial"/>
          <w:b/>
          <w:bCs/>
          <w:sz w:val="24"/>
          <w:szCs w:val="24"/>
          <w:lang w:val="ky-KG"/>
        </w:rPr>
        <w:t xml:space="preserve"> </w:t>
      </w:r>
      <w:r w:rsidRPr="00F81652">
        <w:rPr>
          <w:rFonts w:ascii="Arial" w:hAnsi="Arial" w:cs="Arial"/>
          <w:b/>
          <w:bCs/>
          <w:sz w:val="24"/>
          <w:szCs w:val="24"/>
          <w:lang w:val="ky-KG"/>
        </w:rPr>
        <w:t>шаар</w:t>
      </w:r>
      <w:r>
        <w:rPr>
          <w:rFonts w:ascii="Arial" w:hAnsi="Arial" w:cs="Arial"/>
          <w:b/>
          <w:bCs/>
          <w:sz w:val="24"/>
          <w:szCs w:val="24"/>
          <w:lang w:val="ky-KG"/>
        </w:rPr>
        <w:t>д</w:t>
      </w:r>
      <w:r w:rsidRPr="00F81652">
        <w:rPr>
          <w:rFonts w:ascii="Arial" w:hAnsi="Arial" w:cs="Arial"/>
          <w:b/>
          <w:bCs/>
          <w:sz w:val="24"/>
          <w:szCs w:val="24"/>
          <w:lang w:val="ky-KG"/>
        </w:rPr>
        <w:t xml:space="preserve">ын </w:t>
      </w:r>
      <w:r>
        <w:rPr>
          <w:rFonts w:ascii="Arial" w:hAnsi="Arial" w:cs="Arial"/>
          <w:b/>
          <w:bCs/>
          <w:sz w:val="24"/>
          <w:szCs w:val="24"/>
          <w:lang w:val="ky-KG"/>
        </w:rPr>
        <w:t>административдик аймагына кошууга макулдук берүү</w:t>
      </w:r>
      <w:r w:rsidRPr="00F81652">
        <w:rPr>
          <w:rFonts w:ascii="Arial" w:hAnsi="Arial" w:cs="Arial"/>
          <w:b/>
          <w:bCs/>
          <w:sz w:val="24"/>
          <w:szCs w:val="24"/>
          <w:lang w:val="ky-KG"/>
        </w:rPr>
        <w:t xml:space="preserve"> жөнүндө</w:t>
      </w:r>
    </w:p>
    <w:p w:rsidR="00803DDC" w:rsidRPr="00936A52" w:rsidRDefault="00803DDC" w:rsidP="00803DDC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</w:p>
    <w:p w:rsidR="00803DDC" w:rsidRDefault="00803DDC" w:rsidP="00803DDC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E1464B">
        <w:rPr>
          <w:rFonts w:ascii="Arial" w:hAnsi="Arial" w:cs="Arial"/>
          <w:sz w:val="24"/>
          <w:szCs w:val="24"/>
          <w:lang w:val="ky-KG"/>
        </w:rPr>
        <w:t>Өзбек Республикасын</w:t>
      </w:r>
      <w:r>
        <w:rPr>
          <w:rFonts w:ascii="Arial" w:hAnsi="Arial" w:cs="Arial"/>
          <w:sz w:val="24"/>
          <w:szCs w:val="24"/>
          <w:lang w:val="ky-KG"/>
        </w:rPr>
        <w:t>ы</w:t>
      </w:r>
      <w:r w:rsidRPr="00E1464B">
        <w:rPr>
          <w:rFonts w:ascii="Arial" w:hAnsi="Arial" w:cs="Arial"/>
          <w:sz w:val="24"/>
          <w:szCs w:val="24"/>
          <w:lang w:val="ky-KG"/>
        </w:rPr>
        <w:t>н</w:t>
      </w:r>
      <w:r>
        <w:rPr>
          <w:rFonts w:ascii="Arial" w:hAnsi="Arial" w:cs="Arial"/>
          <w:sz w:val="24"/>
          <w:szCs w:val="24"/>
          <w:lang w:val="ky-KG"/>
        </w:rPr>
        <w:t xml:space="preserve"> Каражантак айылынын </w:t>
      </w:r>
      <w:r w:rsidRPr="00E1464B">
        <w:rPr>
          <w:rFonts w:ascii="Arial" w:hAnsi="Arial" w:cs="Arial"/>
          <w:sz w:val="24"/>
          <w:szCs w:val="24"/>
          <w:lang w:val="ky-KG"/>
        </w:rPr>
        <w:t>241,5 га жер аянты</w:t>
      </w:r>
      <w:r>
        <w:rPr>
          <w:rFonts w:ascii="Arial" w:hAnsi="Arial" w:cs="Arial"/>
          <w:sz w:val="24"/>
          <w:szCs w:val="24"/>
          <w:lang w:val="ky-KG"/>
        </w:rPr>
        <w:t>н</w:t>
      </w:r>
      <w:r w:rsidRPr="001A237B">
        <w:rPr>
          <w:rFonts w:ascii="Arial" w:hAnsi="Arial" w:cs="Arial"/>
          <w:sz w:val="24"/>
          <w:szCs w:val="24"/>
          <w:lang w:val="ky-KG"/>
        </w:rPr>
        <w:t xml:space="preserve"> </w:t>
      </w:r>
      <w:r w:rsidRPr="00E1464B">
        <w:rPr>
          <w:rFonts w:ascii="Arial" w:hAnsi="Arial" w:cs="Arial"/>
          <w:sz w:val="24"/>
          <w:szCs w:val="24"/>
          <w:lang w:val="ky-KG"/>
        </w:rPr>
        <w:t>Кадамжай шаарын</w:t>
      </w:r>
      <w:r>
        <w:rPr>
          <w:rFonts w:ascii="Arial" w:hAnsi="Arial" w:cs="Arial"/>
          <w:sz w:val="24"/>
          <w:szCs w:val="24"/>
          <w:lang w:val="ky-KG"/>
        </w:rPr>
        <w:t>а</w:t>
      </w:r>
      <w:r w:rsidRPr="00E1464B">
        <w:rPr>
          <w:rFonts w:ascii="Arial" w:hAnsi="Arial" w:cs="Arial"/>
          <w:sz w:val="24"/>
          <w:szCs w:val="24"/>
          <w:lang w:val="ky-KG"/>
        </w:rPr>
        <w:t xml:space="preserve"> </w:t>
      </w:r>
      <w:r>
        <w:rPr>
          <w:rFonts w:ascii="Arial" w:hAnsi="Arial" w:cs="Arial"/>
          <w:sz w:val="24"/>
          <w:szCs w:val="24"/>
          <w:lang w:val="ky-KG"/>
        </w:rPr>
        <w:t xml:space="preserve">өткөрүп,  жер фондун инвентаризациялоо боюнча мэрия тарабынан түзүлгөн комиссиянын кортундусу чыккан. Өзбек Республикасынан өткөн 241,5 га жер аянтын шаардын административдик аймагына кошуу боюнча шаардык кеңештин туруктуу комиссияларынын кошмо отурумунун сунушун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карап, талкуулап чыгып,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алдынча </w:t>
      </w:r>
      <w:r>
        <w:rPr>
          <w:rFonts w:ascii="Arial" w:hAnsi="Arial" w:cs="Arial"/>
          <w:color w:val="2C2D2E"/>
          <w:sz w:val="24"/>
          <w:szCs w:val="24"/>
          <w:lang w:val="ky-KG"/>
        </w:rPr>
        <w:t>б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ашкаруу органдары жөнүндө” мыйзамынын 34-беренесине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Pr="00936A52">
        <w:rPr>
          <w:color w:val="2C2D2E"/>
          <w:sz w:val="24"/>
          <w:szCs w:val="24"/>
          <w:lang w:val="ky-KG"/>
        </w:rPr>
        <w:br/>
      </w:r>
    </w:p>
    <w:p w:rsidR="00803DDC" w:rsidRPr="001A5AD7" w:rsidRDefault="00803DDC" w:rsidP="00803DDC">
      <w:pPr>
        <w:ind w:firstLine="708"/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:rsidR="00803DDC" w:rsidRDefault="00803DDC" w:rsidP="00803DDC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Pr="00E1464B">
        <w:rPr>
          <w:rFonts w:ascii="Arial" w:hAnsi="Arial" w:cs="Arial"/>
          <w:sz w:val="24"/>
          <w:szCs w:val="24"/>
          <w:lang w:val="ky-KG"/>
        </w:rPr>
        <w:t>Өзбек Республикасынан</w:t>
      </w:r>
      <w:r>
        <w:rPr>
          <w:rFonts w:ascii="Arial" w:hAnsi="Arial" w:cs="Arial"/>
          <w:sz w:val="24"/>
          <w:szCs w:val="24"/>
          <w:lang w:val="ky-KG"/>
        </w:rPr>
        <w:t xml:space="preserve"> Кадамжай шаарына өткөн 241,5 га жер аянтын  шаардын административдик аймагына кошууга  макулдук берилсин.</w:t>
      </w:r>
    </w:p>
    <w:p w:rsidR="00803DDC" w:rsidRDefault="00803DDC" w:rsidP="00803DDC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2. Токтомдун аткарылышы Кадамжай шаарынын мэри А.Мурзажановко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:rsidR="00803DDC" w:rsidRDefault="00803DDC" w:rsidP="00803DDC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3. Токтомдун аткарылышын көзөмөлдөө жагы шаардык кеңештин жер,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курулуш, транспорт жана муниципалдык менчик боюнча туруктуу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:rsidR="00803DDC" w:rsidRPr="00EB09F7" w:rsidRDefault="00803DDC" w:rsidP="00803DDC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4. 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:rsidR="00803DDC" w:rsidRPr="00EB09F7" w:rsidRDefault="00803DDC" w:rsidP="00803DDC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:rsidR="00803DDC" w:rsidRPr="00EB09F7" w:rsidRDefault="00803DDC" w:rsidP="00803DDC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:rsidR="00803DDC" w:rsidRPr="001A5AD7" w:rsidRDefault="00803DDC" w:rsidP="00803DDC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    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К.Дастиров</w:t>
      </w:r>
    </w:p>
    <w:p w:rsidR="000166D0" w:rsidRDefault="000166D0"/>
    <w:sectPr w:rsidR="000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DC"/>
    <w:rsid w:val="000166D0"/>
    <w:rsid w:val="0080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39793-BA1D-407B-A8DD-9766AE08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2025-06-10T06:37:00Z</dcterms:created>
  <dcterms:modified xsi:type="dcterms:W3CDTF">2025-06-10T06:38:00Z</dcterms:modified>
</cp:coreProperties>
</file>