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20B1" w:rsidRDefault="006B20B1" w:rsidP="006B20B1">
      <w:pPr>
        <w:jc w:val="right"/>
        <w:rPr>
          <w:color w:val="C00000"/>
          <w:sz w:val="28"/>
          <w:szCs w:val="28"/>
          <w:lang w:val="ky-KG"/>
        </w:rPr>
      </w:pPr>
    </w:p>
    <w:p w:rsidR="006B20B1" w:rsidRDefault="006B20B1" w:rsidP="006B20B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14" name="Прямоугольник: скругленные угл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20B1" w:rsidRDefault="006B20B1" w:rsidP="006B20B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B20B1" w:rsidRDefault="006B20B1" w:rsidP="006B20B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B20B1" w:rsidRDefault="006B20B1" w:rsidP="006B20B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B20B1" w:rsidRDefault="006B20B1" w:rsidP="006B20B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6B20B1" w:rsidRDefault="006B20B1" w:rsidP="006B20B1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4" o:spid="_x0000_s1026" style="position:absolute;margin-left:252.45pt;margin-top:-19.2pt;width:2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Dl/XatewIA&#10;ALo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6B20B1" w:rsidRDefault="006B20B1" w:rsidP="006B20B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B20B1" w:rsidRDefault="006B20B1" w:rsidP="006B20B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B20B1" w:rsidRDefault="006B20B1" w:rsidP="006B20B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B20B1" w:rsidRDefault="006B20B1" w:rsidP="006B20B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6B20B1" w:rsidRDefault="006B20B1" w:rsidP="006B20B1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15" name="Прямоугольник: скругленные угл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20B1" w:rsidRDefault="006B20B1" w:rsidP="006B20B1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6B20B1" w:rsidRDefault="006B20B1" w:rsidP="006B20B1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6B20B1" w:rsidRDefault="006B20B1" w:rsidP="006B20B1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6B20B1" w:rsidRDefault="006B20B1" w:rsidP="006B20B1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6B20B1" w:rsidRDefault="006B20B1" w:rsidP="006B20B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5" o:spid="_x0000_s1027" style="position:absolute;margin-left:-42.3pt;margin-top:-19.2pt;width:238.1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aoJl/X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6B20B1" w:rsidRDefault="006B20B1" w:rsidP="006B20B1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6B20B1" w:rsidRDefault="006B20B1" w:rsidP="006B20B1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6B20B1" w:rsidRDefault="006B20B1" w:rsidP="006B20B1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6B20B1" w:rsidRDefault="006B20B1" w:rsidP="006B20B1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6B20B1" w:rsidRDefault="006B20B1" w:rsidP="006B20B1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781050</wp:posOffset>
                </wp:positionV>
                <wp:extent cx="5915025" cy="0"/>
                <wp:effectExtent l="0" t="19050" r="47625" b="3810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0B668" id="Прямая соединительная линия 1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61.5pt" to="465.4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595"/>
            <wp:effectExtent l="0" t="0" r="0" b="8255"/>
            <wp:wrapNone/>
            <wp:docPr id="1" name="Рисунок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0B1" w:rsidRDefault="006B20B1" w:rsidP="006B20B1">
      <w:pPr>
        <w:rPr>
          <w:rFonts w:ascii="Arial" w:hAnsi="Arial" w:cs="Arial"/>
        </w:rPr>
      </w:pPr>
    </w:p>
    <w:p w:rsidR="006B20B1" w:rsidRDefault="006B20B1" w:rsidP="006B20B1">
      <w:pPr>
        <w:rPr>
          <w:rFonts w:ascii="Arial" w:hAnsi="Arial" w:cs="Arial"/>
        </w:rPr>
      </w:pPr>
    </w:p>
    <w:p w:rsidR="006B20B1" w:rsidRDefault="006B20B1" w:rsidP="006B20B1">
      <w:pPr>
        <w:jc w:val="both"/>
        <w:rPr>
          <w:rFonts w:ascii="Arial" w:hAnsi="Arial" w:cs="Arial"/>
          <w:sz w:val="28"/>
          <w:szCs w:val="28"/>
        </w:rPr>
      </w:pPr>
    </w:p>
    <w:p w:rsidR="006B20B1" w:rsidRDefault="006B20B1" w:rsidP="006B20B1">
      <w:pPr>
        <w:jc w:val="both"/>
        <w:rPr>
          <w:rFonts w:ascii="Arial" w:hAnsi="Arial" w:cs="Arial"/>
          <w:sz w:val="28"/>
          <w:szCs w:val="28"/>
        </w:rPr>
      </w:pPr>
    </w:p>
    <w:p w:rsidR="006B20B1" w:rsidRDefault="006B20B1" w:rsidP="006B20B1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6B20B1" w:rsidRDefault="006B20B1" w:rsidP="006B20B1">
      <w:pPr>
        <w:jc w:val="center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>Кадамжай шаардык кеңешинин V чакырылышынын кезексиз XIV сессиясы</w:t>
      </w:r>
    </w:p>
    <w:p w:rsidR="006B20B1" w:rsidRDefault="006B20B1" w:rsidP="006B20B1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</w:t>
      </w:r>
    </w:p>
    <w:p w:rsidR="006B20B1" w:rsidRDefault="006B20B1" w:rsidP="006B20B1">
      <w:pPr>
        <w:rPr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ТОКТОМ</w:t>
      </w:r>
      <w:r>
        <w:rPr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     </w:t>
      </w:r>
    </w:p>
    <w:p w:rsidR="006B20B1" w:rsidRDefault="006B20B1" w:rsidP="006B20B1">
      <w:pPr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2025-жылдын 12-сентябрындагы № 62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 xml:space="preserve">                </w:t>
      </w:r>
      <w:r>
        <w:rPr>
          <w:b/>
          <w:bCs/>
          <w:color w:val="000000"/>
          <w:sz w:val="24"/>
          <w:szCs w:val="24"/>
          <w:lang w:val="ky-KG"/>
        </w:rPr>
        <w:tab/>
      </w:r>
      <w:r>
        <w:rPr>
          <w:b/>
          <w:bCs/>
          <w:color w:val="000000"/>
          <w:sz w:val="24"/>
          <w:szCs w:val="24"/>
          <w:lang w:val="ky-KG"/>
        </w:rPr>
        <w:tab/>
        <w:t>Кадамжай ш.</w:t>
      </w:r>
    </w:p>
    <w:p w:rsidR="006B20B1" w:rsidRDefault="006B20B1" w:rsidP="006B20B1">
      <w:pPr>
        <w:rPr>
          <w:color w:val="000000"/>
          <w:sz w:val="24"/>
          <w:szCs w:val="24"/>
          <w:lang w:val="ky-KG"/>
        </w:rPr>
      </w:pPr>
    </w:p>
    <w:p w:rsidR="006B20B1" w:rsidRDefault="006B20B1" w:rsidP="006B20B1">
      <w:pPr>
        <w:rPr>
          <w:color w:val="000000"/>
          <w:sz w:val="24"/>
          <w:szCs w:val="24"/>
          <w:lang w:val="ky-KG"/>
        </w:rPr>
      </w:pPr>
    </w:p>
    <w:p w:rsidR="006B20B1" w:rsidRDefault="006B20B1" w:rsidP="006B20B1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Кыргыз Республикасынын Президентинин 2022-жылдын 24-февралындагы № 54 Жарлыгын шаардын аймагында ишке ашыруу боюнча Кадамжай шаардык кеңешинин 2022-жылдын 2-июнундагы № 58 токтому менен бекитилген Жобого өзгөртүүлөрдү жана толуктоолорду киргизүү жөнүндө  </w:t>
      </w:r>
    </w:p>
    <w:p w:rsidR="006B20B1" w:rsidRDefault="006B20B1" w:rsidP="006B20B1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Кыргыз Республикасынын Президентинин 2022-жылдын 24-февралындагы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“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Кыргыз Республикасында үй-бүлөлүк салтанаттарды жана маркумду эскерүү үрп-адаттарын тартипке келтирүү боюнча чаралар жөнүндөгү” № 54 Жарлыгын жана Кыргыз Республикасынын 2024-жылдын 6-декабрындагы “Тынчтык жөнүндө” № 194 мыйзамынын талаптарына ылайык Кадамжай шаардык кеңеши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</w:t>
      </w:r>
      <w:r>
        <w:rPr>
          <w:rFonts w:ascii="Arial" w:hAnsi="Arial" w:cs="Arial"/>
          <w:color w:val="2C2D2E"/>
          <w:sz w:val="24"/>
          <w:szCs w:val="24"/>
          <w:lang w:val="ky-KG"/>
        </w:rPr>
        <w:t>:</w:t>
      </w:r>
    </w:p>
    <w:p w:rsidR="006B20B1" w:rsidRDefault="006B20B1" w:rsidP="006B20B1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кеңешинин 2022-жылдын 2-июнундагы “Кыргыз Республикасынын Президентинин 2022-жылдын 24-февралындагы № 54 Жарлыгын шаардын аймагында ишке ашыруудагы түзүлгөн жобону бекитүү жөнүндө” № 58 токтому менен бекитилген жобого, Кыргыз Республикасынын 2024-жылдын 6-декабрындагы “Тынчтык жөнүндө” № 194 мыйзамынын талаптарына ылайык өзгөртүүлөр жана толуктоолор киргизилсин.  </w:t>
      </w:r>
    </w:p>
    <w:p w:rsidR="006B20B1" w:rsidRDefault="006B20B1" w:rsidP="006B20B1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 Кадамжай шаарынын мэри А.Мурзажановко тапшырылсын.</w:t>
      </w:r>
    </w:p>
    <w:p w:rsidR="006B20B1" w:rsidRDefault="006B20B1" w:rsidP="006B20B1">
      <w:pPr>
        <w:pStyle w:val="a3"/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Токтомдун аткарылышын көзөмөлдөө жагы шаардык кеңештин социалдык саясат боюнча туруктуу комиссиясына жүктөлсүн.</w:t>
      </w:r>
    </w:p>
    <w:p w:rsidR="006B20B1" w:rsidRDefault="006B20B1" w:rsidP="006B20B1">
      <w:pPr>
        <w:pStyle w:val="a3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pStyle w:val="a3"/>
        <w:numPr>
          <w:ilvl w:val="0"/>
          <w:numId w:val="1"/>
        </w:numPr>
        <w:ind w:left="106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>
        <w:rPr>
          <w:rFonts w:ascii="Arial" w:hAnsi="Arial" w:cs="Arial"/>
          <w:color w:val="2C2D2E"/>
          <w:sz w:val="24"/>
          <w:szCs w:val="24"/>
          <w:lang w:val="ky-KG"/>
        </w:rPr>
        <w:br/>
        <w:t>жарыялап жана мамлекеттик реестрге киргизүү үчүн жиберсин.</w:t>
      </w:r>
    </w:p>
    <w:p w:rsidR="006B20B1" w:rsidRDefault="006B20B1" w:rsidP="006B20B1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 xml:space="preserve">     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6B20B1" w:rsidRDefault="006B20B1" w:rsidP="006B20B1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1C3036" w:rsidRPr="006B20B1" w:rsidRDefault="006B20B1" w:rsidP="006B20B1">
      <w:pPr>
        <w:jc w:val="right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color w:val="C00000"/>
          <w:sz w:val="28"/>
          <w:szCs w:val="28"/>
          <w:lang w:val="ky-KG"/>
        </w:rPr>
        <w:t>0000062</w:t>
      </w:r>
      <w:bookmarkStart w:id="0" w:name="_GoBack"/>
      <w:bookmarkEnd w:id="0"/>
    </w:p>
    <w:sectPr w:rsidR="001C3036" w:rsidRPr="006B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B1"/>
    <w:rsid w:val="001C3036"/>
    <w:rsid w:val="006B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4A19"/>
  <w15:chartTrackingRefBased/>
  <w15:docId w15:val="{939464F5-EF1E-4E01-893E-F18DE8E7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2025-09-15T10:43:00Z</dcterms:created>
  <dcterms:modified xsi:type="dcterms:W3CDTF">2025-09-15T10:43:00Z</dcterms:modified>
</cp:coreProperties>
</file>