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GDZrAd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3BewIAAL8EAAAOAAAAZHJzL2Uyb0RvYy54bWysVN1u0zAUvkfiHSzfsyQd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Dsdc3BewIA&#10;AL8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045B7754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bookmarkStart w:id="1" w:name="_GoBack"/>
      <w:bookmarkEnd w:id="1"/>
    </w:p>
    <w:p w14:paraId="16214CE5" w14:textId="3C795874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E79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сиз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 w:rsidR="00C86F6E" w:rsidRPr="00101C4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46FA1DF1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025-жылдын </w:t>
      </w:r>
      <w:r w:rsidR="006317A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4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6317A5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н</w:t>
      </w:r>
      <w:r w:rsidR="001746A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о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ябрын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DA348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66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7EB1C76D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</w:t>
      </w:r>
      <w:r w:rsidR="00101C4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дамжай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ш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аар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</w:t>
      </w:r>
      <w:r w:rsidR="00101C4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 аймагындагы № 86 Кара-Жантак орто мектебине жана № 48 балдар бакчасынын от казандарына 6 даана вентилятор орнотуу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үчүн акча каражатын ажырат</w:t>
      </w:r>
      <w:r w:rsidR="00101C4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ып берүү</w:t>
      </w:r>
      <w:r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жөнүндө</w:t>
      </w:r>
      <w:r w:rsidRPr="003E0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6BE8DA42" w:rsidR="00FF5D09" w:rsidRDefault="00101C41" w:rsidP="00FF5D09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 w:rsidRPr="00101C41">
        <w:rPr>
          <w:rFonts w:ascii="Arial" w:hAnsi="Arial" w:cs="Arial"/>
          <w:color w:val="2C2D2E"/>
          <w:sz w:val="24"/>
          <w:szCs w:val="24"/>
          <w:lang w:val="ky-KG"/>
        </w:rPr>
        <w:t xml:space="preserve"> шаарынын аймагындагы № 86 Кара-Жантак орто мектебине жана № 48 балдар бакчасынын от казандарына 6 даана вентилятор орнотуу үчүн акча каражатын ажыратып берүү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жөнүндө</w:t>
      </w:r>
      <w:r w:rsidRPr="00101C41">
        <w:rPr>
          <w:rFonts w:ascii="Arial" w:hAnsi="Arial" w:cs="Arial"/>
          <w:color w:val="2C2D2E"/>
          <w:sz w:val="24"/>
          <w:szCs w:val="24"/>
          <w:lang w:val="ky-KG"/>
        </w:rPr>
        <w:t xml:space="preserve"> Кадамжай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шаардык мэриясынын алдындагы муниципалдык менчик департаментинин директорунун милдетин аткаруучусунун сунушун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угуп, талкуулап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жана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шаардык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ин каржы, бюджет, пландоо жана экономиканы өнүктүрүү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="00FF5D09" w:rsidRPr="00936A52">
        <w:rPr>
          <w:color w:val="2C2D2E"/>
          <w:sz w:val="24"/>
          <w:szCs w:val="24"/>
          <w:lang w:val="ky-KG"/>
        </w:rPr>
        <w:br/>
      </w:r>
    </w:p>
    <w:p w14:paraId="1106DCF5" w14:textId="2C33F5B9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аймагындагы </w:t>
      </w:r>
      <w:r w:rsidR="00101C41" w:rsidRPr="00101C41">
        <w:rPr>
          <w:rFonts w:ascii="Arial" w:hAnsi="Arial" w:cs="Arial"/>
          <w:color w:val="2C2D2E"/>
          <w:sz w:val="24"/>
          <w:szCs w:val="24"/>
          <w:lang w:val="ky-KG"/>
        </w:rPr>
        <w:t xml:space="preserve">№ 86 Кара-Жантак орто мектебине жана </w:t>
      </w:r>
      <w:r w:rsidR="00101C41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101C41" w:rsidRPr="00101C41">
        <w:rPr>
          <w:rFonts w:ascii="Arial" w:hAnsi="Arial" w:cs="Arial"/>
          <w:color w:val="2C2D2E"/>
          <w:sz w:val="24"/>
          <w:szCs w:val="24"/>
          <w:lang w:val="ky-KG"/>
        </w:rPr>
        <w:t xml:space="preserve">№ 48 балдар бакчасынын от казандарына 6 даана вентилятор орнотуу </w:t>
      </w:r>
      <w:r>
        <w:rPr>
          <w:rFonts w:ascii="Arial" w:hAnsi="Arial" w:cs="Arial"/>
          <w:sz w:val="24"/>
          <w:szCs w:val="24"/>
          <w:lang w:val="ky-KG"/>
        </w:rPr>
        <w:t xml:space="preserve">үчүн </w:t>
      </w:r>
      <w:r w:rsidR="00101C41">
        <w:rPr>
          <w:rFonts w:ascii="Arial" w:hAnsi="Arial" w:cs="Arial"/>
          <w:sz w:val="24"/>
          <w:szCs w:val="24"/>
          <w:lang w:val="ky-KG"/>
        </w:rPr>
        <w:t>21</w:t>
      </w:r>
      <w:r>
        <w:rPr>
          <w:rFonts w:ascii="Arial" w:hAnsi="Arial" w:cs="Arial"/>
          <w:sz w:val="24"/>
          <w:szCs w:val="24"/>
          <w:lang w:val="ky-KG"/>
        </w:rPr>
        <w:t> 000 (</w:t>
      </w:r>
      <w:r w:rsidR="00101C41">
        <w:rPr>
          <w:rFonts w:ascii="Arial" w:hAnsi="Arial" w:cs="Arial"/>
          <w:sz w:val="24"/>
          <w:szCs w:val="24"/>
          <w:lang w:val="ky-KG"/>
        </w:rPr>
        <w:t>жыйырма бир</w:t>
      </w:r>
      <w:r>
        <w:rPr>
          <w:rFonts w:ascii="Arial" w:hAnsi="Arial" w:cs="Arial"/>
          <w:sz w:val="24"/>
          <w:szCs w:val="24"/>
          <w:lang w:val="ky-KG"/>
        </w:rPr>
        <w:t xml:space="preserve"> миң) сом акча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каражаты ажыратылып берилсин. 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55A7F42C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282966F2" w:rsidR="005E6645" w:rsidRPr="00EB09F7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 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14:paraId="673AC014" w14:textId="78F05EDA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FF5D09">
      <w:pPr>
        <w:rPr>
          <w:b/>
          <w:bCs/>
        </w:rPr>
      </w:pP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Төрага</w:t>
      </w:r>
      <w:proofErr w:type="spellEnd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proofErr w:type="spellStart"/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proofErr w:type="spellEnd"/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3DEDF762" w14:textId="77777777" w:rsidR="009E1DFD" w:rsidRDefault="009E1DFD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2283F647" w14:textId="77777777" w:rsidR="009E1DFD" w:rsidRDefault="009E1DFD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7B53D71D" w14:textId="77777777" w:rsidR="009E1DFD" w:rsidRDefault="009E1DFD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4F80C580" w14:textId="23E243C5" w:rsidR="00FF5D09" w:rsidRDefault="009E1DFD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0000066</w:t>
      </w: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DBDBC" w14:textId="77777777" w:rsidR="001D6D56" w:rsidRDefault="001D6D56" w:rsidP="004474B9">
      <w:r>
        <w:separator/>
      </w:r>
    </w:p>
  </w:endnote>
  <w:endnote w:type="continuationSeparator" w:id="0">
    <w:p w14:paraId="07D95B0B" w14:textId="77777777" w:rsidR="001D6D56" w:rsidRDefault="001D6D56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46D5D" w14:textId="77777777" w:rsidR="001D6D56" w:rsidRDefault="001D6D56" w:rsidP="004474B9">
      <w:r>
        <w:separator/>
      </w:r>
    </w:p>
  </w:footnote>
  <w:footnote w:type="continuationSeparator" w:id="0">
    <w:p w14:paraId="47D70137" w14:textId="77777777" w:rsidR="001D6D56" w:rsidRDefault="001D6D56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6CC9"/>
    <w:rsid w:val="0008740A"/>
    <w:rsid w:val="000A5311"/>
    <w:rsid w:val="000D4BD1"/>
    <w:rsid w:val="00101C41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D6D56"/>
    <w:rsid w:val="001E243D"/>
    <w:rsid w:val="002031C8"/>
    <w:rsid w:val="0027219F"/>
    <w:rsid w:val="00277508"/>
    <w:rsid w:val="00283ECB"/>
    <w:rsid w:val="00291E97"/>
    <w:rsid w:val="002D382B"/>
    <w:rsid w:val="002E70E0"/>
    <w:rsid w:val="00306CAE"/>
    <w:rsid w:val="00326B17"/>
    <w:rsid w:val="00353F27"/>
    <w:rsid w:val="00354CB8"/>
    <w:rsid w:val="00363872"/>
    <w:rsid w:val="003755A3"/>
    <w:rsid w:val="003806E9"/>
    <w:rsid w:val="003818B8"/>
    <w:rsid w:val="003E2195"/>
    <w:rsid w:val="003E3A40"/>
    <w:rsid w:val="003E414A"/>
    <w:rsid w:val="003F1E14"/>
    <w:rsid w:val="00406CD0"/>
    <w:rsid w:val="00415C1D"/>
    <w:rsid w:val="004256A8"/>
    <w:rsid w:val="004474B9"/>
    <w:rsid w:val="004931AB"/>
    <w:rsid w:val="004949E0"/>
    <w:rsid w:val="004B043B"/>
    <w:rsid w:val="004E76D9"/>
    <w:rsid w:val="00532CC7"/>
    <w:rsid w:val="00544658"/>
    <w:rsid w:val="005950B6"/>
    <w:rsid w:val="00595704"/>
    <w:rsid w:val="005A65FD"/>
    <w:rsid w:val="005E6645"/>
    <w:rsid w:val="00601F60"/>
    <w:rsid w:val="006317A5"/>
    <w:rsid w:val="006426BC"/>
    <w:rsid w:val="006459BC"/>
    <w:rsid w:val="006660AD"/>
    <w:rsid w:val="00686145"/>
    <w:rsid w:val="006A2F22"/>
    <w:rsid w:val="006C04AE"/>
    <w:rsid w:val="007156B3"/>
    <w:rsid w:val="00715EC6"/>
    <w:rsid w:val="00716BE1"/>
    <w:rsid w:val="00725E9F"/>
    <w:rsid w:val="0073011E"/>
    <w:rsid w:val="0074127B"/>
    <w:rsid w:val="007611C2"/>
    <w:rsid w:val="007A703E"/>
    <w:rsid w:val="007B3EEE"/>
    <w:rsid w:val="007E7993"/>
    <w:rsid w:val="007F1BAE"/>
    <w:rsid w:val="00872849"/>
    <w:rsid w:val="008752E3"/>
    <w:rsid w:val="00876D85"/>
    <w:rsid w:val="008C756B"/>
    <w:rsid w:val="008C7927"/>
    <w:rsid w:val="008D1F42"/>
    <w:rsid w:val="00910ECD"/>
    <w:rsid w:val="009344FC"/>
    <w:rsid w:val="00936A52"/>
    <w:rsid w:val="00982E57"/>
    <w:rsid w:val="009D3384"/>
    <w:rsid w:val="009D6915"/>
    <w:rsid w:val="009E1B76"/>
    <w:rsid w:val="009E1DFD"/>
    <w:rsid w:val="00A24D26"/>
    <w:rsid w:val="00A253EB"/>
    <w:rsid w:val="00A27AA8"/>
    <w:rsid w:val="00A46C8E"/>
    <w:rsid w:val="00A77968"/>
    <w:rsid w:val="00AB6453"/>
    <w:rsid w:val="00AD5BF1"/>
    <w:rsid w:val="00AF0DE3"/>
    <w:rsid w:val="00B110D2"/>
    <w:rsid w:val="00B15A8E"/>
    <w:rsid w:val="00B16C46"/>
    <w:rsid w:val="00B179E8"/>
    <w:rsid w:val="00B23E5C"/>
    <w:rsid w:val="00B3191C"/>
    <w:rsid w:val="00B42492"/>
    <w:rsid w:val="00B50545"/>
    <w:rsid w:val="00B55FCA"/>
    <w:rsid w:val="00B84DD5"/>
    <w:rsid w:val="00BB000D"/>
    <w:rsid w:val="00BB65FE"/>
    <w:rsid w:val="00BC597B"/>
    <w:rsid w:val="00BF3D03"/>
    <w:rsid w:val="00C11B39"/>
    <w:rsid w:val="00C1616E"/>
    <w:rsid w:val="00C22083"/>
    <w:rsid w:val="00C27621"/>
    <w:rsid w:val="00C758F0"/>
    <w:rsid w:val="00C77CB2"/>
    <w:rsid w:val="00C824EA"/>
    <w:rsid w:val="00C86ACA"/>
    <w:rsid w:val="00C86F6E"/>
    <w:rsid w:val="00C90452"/>
    <w:rsid w:val="00C969C4"/>
    <w:rsid w:val="00CF3DE5"/>
    <w:rsid w:val="00CF72CD"/>
    <w:rsid w:val="00D10666"/>
    <w:rsid w:val="00D26766"/>
    <w:rsid w:val="00D34891"/>
    <w:rsid w:val="00D35B93"/>
    <w:rsid w:val="00D65D3F"/>
    <w:rsid w:val="00D7530E"/>
    <w:rsid w:val="00D87477"/>
    <w:rsid w:val="00DA25C7"/>
    <w:rsid w:val="00DA2672"/>
    <w:rsid w:val="00DA3486"/>
    <w:rsid w:val="00DB7F65"/>
    <w:rsid w:val="00DC508A"/>
    <w:rsid w:val="00E16DF2"/>
    <w:rsid w:val="00E44321"/>
    <w:rsid w:val="00E468EA"/>
    <w:rsid w:val="00E7793D"/>
    <w:rsid w:val="00EA28C6"/>
    <w:rsid w:val="00EC5120"/>
    <w:rsid w:val="00EE364C"/>
    <w:rsid w:val="00EE6E2D"/>
    <w:rsid w:val="00EF195B"/>
    <w:rsid w:val="00F357E8"/>
    <w:rsid w:val="00F42F92"/>
    <w:rsid w:val="00F46F00"/>
    <w:rsid w:val="00F71F26"/>
    <w:rsid w:val="00F9376A"/>
    <w:rsid w:val="00FA618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</cp:lastModifiedBy>
  <cp:revision>4</cp:revision>
  <cp:lastPrinted>2025-10-13T06:01:00Z</cp:lastPrinted>
  <dcterms:created xsi:type="dcterms:W3CDTF">2025-10-31T04:52:00Z</dcterms:created>
  <dcterms:modified xsi:type="dcterms:W3CDTF">2025-11-05T09:35:00Z</dcterms:modified>
</cp:coreProperties>
</file>